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CEB2C" w14:textId="41C73DDA" w:rsidR="00AB51FA" w:rsidRPr="00566A8E" w:rsidRDefault="00B4037B" w:rsidP="00B4037B">
      <w:pPr>
        <w:jc w:val="center"/>
        <w:rPr>
          <w:b/>
          <w:bCs/>
          <w:sz w:val="28"/>
          <w:szCs w:val="28"/>
          <w:lang w:val="en-US"/>
        </w:rPr>
      </w:pPr>
      <w:r w:rsidRPr="00566A8E">
        <w:rPr>
          <w:b/>
          <w:bCs/>
          <w:sz w:val="28"/>
          <w:szCs w:val="28"/>
          <w:lang w:val="en-US"/>
        </w:rPr>
        <w:t>ABSTRACT TITLE</w:t>
      </w:r>
    </w:p>
    <w:p w14:paraId="195545D2" w14:textId="285B9734" w:rsidR="00A74FB9" w:rsidRPr="00051E49" w:rsidRDefault="00A74FB9" w:rsidP="00A74FB9">
      <w:pPr>
        <w:jc w:val="center"/>
        <w:rPr>
          <w:rFonts w:cstheme="minorHAnsi"/>
          <w:vertAlign w:val="superscript"/>
          <w:lang w:val="en-US"/>
        </w:rPr>
      </w:pPr>
      <w:r w:rsidRPr="004F117A">
        <w:rPr>
          <w:u w:val="single"/>
          <w:lang w:val="en-US"/>
        </w:rPr>
        <w:t>Goodenough, D.</w:t>
      </w:r>
      <w:r w:rsidRPr="004F117A">
        <w:rPr>
          <w:u w:val="single"/>
          <w:vertAlign w:val="superscript"/>
          <w:lang w:val="en-US"/>
        </w:rPr>
        <w:t>a*</w:t>
      </w:r>
      <w:r w:rsidRPr="00566A8E">
        <w:rPr>
          <w:lang w:val="en-US"/>
        </w:rPr>
        <w:t xml:space="preserve">, </w:t>
      </w:r>
      <w:r>
        <w:rPr>
          <w:lang w:val="en-US"/>
        </w:rPr>
        <w:t>Schönbein, C.</w:t>
      </w:r>
      <w:r>
        <w:rPr>
          <w:vertAlign w:val="superscript"/>
          <w:lang w:val="en-US"/>
        </w:rPr>
        <w:t>b</w:t>
      </w:r>
      <w:r>
        <w:rPr>
          <w:lang w:val="en-US"/>
        </w:rPr>
        <w:t>, Scheele, C.W.</w:t>
      </w:r>
      <w:r>
        <w:rPr>
          <w:vertAlign w:val="superscript"/>
          <w:lang w:val="en-US"/>
        </w:rPr>
        <w:t>c</w:t>
      </w:r>
      <w:r w:rsidR="00051E49">
        <w:rPr>
          <w:lang w:val="en-US"/>
        </w:rPr>
        <w:t>, Staudinger, H.</w:t>
      </w:r>
      <w:r w:rsidR="00051E49">
        <w:rPr>
          <w:vertAlign w:val="superscript"/>
          <w:lang w:val="en-US"/>
        </w:rPr>
        <w:t>a,b,c</w:t>
      </w:r>
    </w:p>
    <w:p w14:paraId="61A09CEB" w14:textId="03EB2353" w:rsidR="0009622F" w:rsidRDefault="0009622F" w:rsidP="001C3773">
      <w:pPr>
        <w:spacing w:after="0" w:line="240" w:lineRule="auto"/>
        <w:jc w:val="center"/>
        <w:rPr>
          <w:rFonts w:cstheme="minorHAnsi"/>
          <w:lang w:val="en-US"/>
        </w:rPr>
      </w:pPr>
      <w:r>
        <w:rPr>
          <w:rFonts w:cstheme="minorHAnsi"/>
          <w:vertAlign w:val="superscript"/>
          <w:lang w:val="en-US"/>
        </w:rPr>
        <w:t>a</w:t>
      </w:r>
      <w:r>
        <w:rPr>
          <w:rFonts w:cstheme="minorHAnsi"/>
          <w:lang w:val="en-US"/>
        </w:rPr>
        <w:t xml:space="preserve"> </w:t>
      </w:r>
      <w:r w:rsidR="00187DAE">
        <w:rPr>
          <w:rFonts w:cstheme="minorHAnsi"/>
          <w:lang w:val="en-US"/>
        </w:rPr>
        <w:t>Name of the institution</w:t>
      </w:r>
      <w:r w:rsidR="00D739EA">
        <w:rPr>
          <w:rFonts w:cstheme="minorHAnsi"/>
          <w:lang w:val="en-US"/>
        </w:rPr>
        <w:t>, laboratory, city</w:t>
      </w:r>
    </w:p>
    <w:p w14:paraId="6EB6C831" w14:textId="1C9E3048" w:rsidR="003B1B78" w:rsidRDefault="003B1B78" w:rsidP="001C3773">
      <w:pPr>
        <w:spacing w:after="0" w:line="240" w:lineRule="auto"/>
        <w:jc w:val="center"/>
        <w:rPr>
          <w:rFonts w:cstheme="minorHAnsi"/>
          <w:lang w:val="en-US"/>
        </w:rPr>
      </w:pPr>
      <w:r>
        <w:rPr>
          <w:rFonts w:cstheme="minorHAnsi"/>
          <w:lang w:val="en-US"/>
        </w:rPr>
        <w:t>*e-mail of presenting author</w:t>
      </w:r>
    </w:p>
    <w:p w14:paraId="7BAF0575" w14:textId="77777777" w:rsidR="001C3773" w:rsidRDefault="001C3773" w:rsidP="001C3773">
      <w:pPr>
        <w:spacing w:after="0" w:line="240" w:lineRule="auto"/>
        <w:jc w:val="center"/>
        <w:rPr>
          <w:rFonts w:cstheme="minorHAnsi"/>
          <w:lang w:val="en-US"/>
        </w:rPr>
      </w:pPr>
    </w:p>
    <w:p w14:paraId="51045880" w14:textId="39BC2E49" w:rsidR="00697B02" w:rsidRDefault="00697B02" w:rsidP="00697B02">
      <w:pPr>
        <w:jc w:val="both"/>
        <w:rPr>
          <w:rFonts w:cstheme="minorHAnsi"/>
          <w:lang w:val="en-US"/>
        </w:rPr>
      </w:pPr>
      <w:r>
        <w:rPr>
          <w:rFonts w:cstheme="minorHAnsi"/>
          <w:lang w:val="en-US"/>
        </w:rPr>
        <w:t>The abstract shall no</w:t>
      </w:r>
      <w:r w:rsidR="00CA2110">
        <w:rPr>
          <w:rFonts w:cstheme="minorHAnsi"/>
          <w:lang w:val="en-US"/>
        </w:rPr>
        <w:t>t</w:t>
      </w:r>
      <w:r>
        <w:rPr>
          <w:rFonts w:cstheme="minorHAnsi"/>
          <w:lang w:val="en-US"/>
        </w:rPr>
        <w:t xml:space="preserve"> exceed a maximum of one A4 page maximum (references included). Calibri font (size 11) shall be used, with justified text and margins of 2.5 cm. One figure (or table) at most can be included below the text. The file size shall not exceed 2 MB.</w:t>
      </w:r>
    </w:p>
    <w:p w14:paraId="743FFB0C" w14:textId="7447F61B" w:rsidR="003B1B78" w:rsidRDefault="0024370E" w:rsidP="00C125A6">
      <w:pPr>
        <w:jc w:val="center"/>
        <w:rPr>
          <w:lang w:val="en-US"/>
        </w:rPr>
      </w:pPr>
      <w:r>
        <w:rPr>
          <w:noProof/>
        </w:rPr>
        <w:drawing>
          <wp:inline distT="0" distB="0" distL="0" distR="0" wp14:anchorId="07B95AE1" wp14:editId="6CE020F5">
            <wp:extent cx="2514600" cy="206465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29558" cy="2076939"/>
                    </a:xfrm>
                    <a:prstGeom prst="rect">
                      <a:avLst/>
                    </a:prstGeom>
                    <a:noFill/>
                    <a:ln>
                      <a:noFill/>
                    </a:ln>
                  </pic:spPr>
                </pic:pic>
              </a:graphicData>
            </a:graphic>
          </wp:inline>
        </w:drawing>
      </w:r>
    </w:p>
    <w:p w14:paraId="06289B05" w14:textId="64DA39EB" w:rsidR="00C125A6" w:rsidRDefault="00C6129B" w:rsidP="00C6129B">
      <w:pPr>
        <w:jc w:val="center"/>
        <w:rPr>
          <w:lang w:val="en-US"/>
        </w:rPr>
      </w:pPr>
      <w:r w:rsidRPr="002F2D9E">
        <w:rPr>
          <w:b/>
          <w:bCs/>
          <w:lang w:val="en-US"/>
        </w:rPr>
        <w:t>Figure 1</w:t>
      </w:r>
      <w:r>
        <w:rPr>
          <w:lang w:val="en-US"/>
        </w:rPr>
        <w:t>. Insert the legend right below the figure</w:t>
      </w:r>
      <w:r w:rsidR="002F2D9E">
        <w:rPr>
          <w:lang w:val="en-US"/>
        </w:rPr>
        <w:t xml:space="preserve"> (Calibri 11)</w:t>
      </w:r>
      <w:r w:rsidR="00B25AE0">
        <w:rPr>
          <w:lang w:val="en-US"/>
        </w:rPr>
        <w:t xml:space="preserve"> [</w:t>
      </w:r>
      <w:r w:rsidR="0024370E">
        <w:rPr>
          <w:lang w:val="en-US"/>
        </w:rPr>
        <w:t>1</w:t>
      </w:r>
      <w:r w:rsidR="00B25AE0">
        <w:rPr>
          <w:lang w:val="en-US"/>
        </w:rPr>
        <w:t>]</w:t>
      </w:r>
      <w:r w:rsidR="00C32E4C">
        <w:rPr>
          <w:lang w:val="en-US"/>
        </w:rPr>
        <w:t>.</w:t>
      </w:r>
    </w:p>
    <w:p w14:paraId="010FA79E" w14:textId="69C985C5" w:rsidR="00513923" w:rsidRPr="00513923" w:rsidRDefault="00513923" w:rsidP="00BD39DB">
      <w:pPr>
        <w:spacing w:after="0"/>
        <w:jc w:val="both"/>
        <w:rPr>
          <w:sz w:val="20"/>
          <w:szCs w:val="20"/>
          <w:lang w:val="en-US"/>
        </w:rPr>
      </w:pPr>
      <w:r w:rsidRPr="00513923">
        <w:rPr>
          <w:sz w:val="20"/>
          <w:szCs w:val="20"/>
          <w:lang w:val="en-US"/>
        </w:rPr>
        <w:t>References are listed at t</w:t>
      </w:r>
      <w:r>
        <w:rPr>
          <w:sz w:val="20"/>
          <w:szCs w:val="20"/>
          <w:lang w:val="en-US"/>
        </w:rPr>
        <w:t xml:space="preserve">he end of the document with Calibri font (size 10) </w:t>
      </w:r>
    </w:p>
    <w:p w14:paraId="13028D5F" w14:textId="5B4DB0E3" w:rsidR="00B60F63" w:rsidRPr="0024370E" w:rsidRDefault="00B60F63" w:rsidP="00BD39DB">
      <w:pPr>
        <w:spacing w:after="0"/>
        <w:jc w:val="both"/>
        <w:rPr>
          <w:sz w:val="20"/>
          <w:szCs w:val="20"/>
        </w:rPr>
      </w:pPr>
      <w:r w:rsidRPr="00513923">
        <w:rPr>
          <w:sz w:val="20"/>
          <w:szCs w:val="20"/>
        </w:rPr>
        <w:t>[</w:t>
      </w:r>
      <w:r w:rsidR="00EF5E8E" w:rsidRPr="00513923">
        <w:rPr>
          <w:sz w:val="20"/>
          <w:szCs w:val="20"/>
        </w:rPr>
        <w:t>1</w:t>
      </w:r>
      <w:r w:rsidRPr="00513923">
        <w:rPr>
          <w:sz w:val="20"/>
          <w:szCs w:val="20"/>
        </w:rPr>
        <w:t>]</w:t>
      </w:r>
      <w:r w:rsidR="00BD39DB" w:rsidRPr="00513923">
        <w:rPr>
          <w:sz w:val="20"/>
          <w:szCs w:val="20"/>
        </w:rPr>
        <w:t xml:space="preserve"> </w:t>
      </w:r>
      <w:r w:rsidR="00CB472F" w:rsidRPr="00513923">
        <w:rPr>
          <w:sz w:val="20"/>
          <w:szCs w:val="20"/>
        </w:rPr>
        <w:t xml:space="preserve">Journal articles: </w:t>
      </w:r>
      <w:r w:rsidR="0024370E">
        <w:rPr>
          <w:sz w:val="20"/>
          <w:szCs w:val="20"/>
        </w:rPr>
        <w:t>I</w:t>
      </w:r>
      <w:r w:rsidR="0024370E" w:rsidRPr="00513923">
        <w:rPr>
          <w:sz w:val="20"/>
          <w:szCs w:val="20"/>
        </w:rPr>
        <w:t>. C</w:t>
      </w:r>
      <w:r w:rsidR="0024370E">
        <w:rPr>
          <w:sz w:val="20"/>
          <w:szCs w:val="20"/>
        </w:rPr>
        <w:t>apron</w:t>
      </w:r>
      <w:r w:rsidR="0024370E" w:rsidRPr="00513923">
        <w:rPr>
          <w:sz w:val="20"/>
          <w:szCs w:val="20"/>
        </w:rPr>
        <w:t xml:space="preserve">, </w:t>
      </w:r>
      <w:r w:rsidR="0024370E">
        <w:rPr>
          <w:sz w:val="20"/>
          <w:szCs w:val="20"/>
        </w:rPr>
        <w:t>S</w:t>
      </w:r>
      <w:r w:rsidR="0024370E" w:rsidRPr="00513923">
        <w:rPr>
          <w:sz w:val="20"/>
          <w:szCs w:val="20"/>
        </w:rPr>
        <w:t xml:space="preserve">. </w:t>
      </w:r>
      <w:r w:rsidR="0024370E">
        <w:rPr>
          <w:sz w:val="20"/>
          <w:szCs w:val="20"/>
        </w:rPr>
        <w:t>Alexandre</w:t>
      </w:r>
      <w:r w:rsidR="0024370E" w:rsidRPr="00513923">
        <w:rPr>
          <w:sz w:val="20"/>
          <w:szCs w:val="20"/>
        </w:rPr>
        <w:t xml:space="preserve">, </w:t>
      </w:r>
      <w:r w:rsidR="0024370E">
        <w:rPr>
          <w:sz w:val="20"/>
          <w:szCs w:val="20"/>
        </w:rPr>
        <w:t>G</w:t>
      </w:r>
      <w:r w:rsidR="0024370E" w:rsidRPr="00513923">
        <w:rPr>
          <w:sz w:val="20"/>
          <w:szCs w:val="20"/>
        </w:rPr>
        <w:t xml:space="preserve">. </w:t>
      </w:r>
      <w:r w:rsidR="0024370E">
        <w:rPr>
          <w:sz w:val="20"/>
          <w:szCs w:val="20"/>
        </w:rPr>
        <w:t>Muller</w:t>
      </w:r>
      <w:r w:rsidR="0024370E" w:rsidRPr="00513923">
        <w:rPr>
          <w:sz w:val="20"/>
          <w:szCs w:val="20"/>
        </w:rPr>
        <w:t xml:space="preserve">, </w:t>
      </w:r>
      <w:r w:rsidR="0024370E">
        <w:rPr>
          <w:i/>
          <w:iCs/>
          <w:sz w:val="20"/>
          <w:szCs w:val="20"/>
        </w:rPr>
        <w:t>Polymer</w:t>
      </w:r>
      <w:r w:rsidR="0024370E" w:rsidRPr="00D53B26">
        <w:rPr>
          <w:sz w:val="20"/>
          <w:szCs w:val="20"/>
        </w:rPr>
        <w:t xml:space="preserve"> 23 (1998) 5725-5730.</w:t>
      </w:r>
    </w:p>
    <w:p w14:paraId="4B0ACC99" w14:textId="4C47F8DA" w:rsidR="00EF5E8E" w:rsidRPr="00513923" w:rsidRDefault="00EF5E8E" w:rsidP="00BD39DB">
      <w:pPr>
        <w:spacing w:after="0"/>
        <w:jc w:val="both"/>
        <w:rPr>
          <w:sz w:val="20"/>
          <w:szCs w:val="20"/>
          <w:lang w:val="en-US"/>
        </w:rPr>
      </w:pPr>
      <w:r w:rsidRPr="00513923">
        <w:rPr>
          <w:sz w:val="20"/>
          <w:szCs w:val="20"/>
          <w:lang w:val="en-US"/>
        </w:rPr>
        <w:t xml:space="preserve">[2] Books: </w:t>
      </w:r>
      <w:r w:rsidR="00F52C5F" w:rsidRPr="00513923">
        <w:rPr>
          <w:sz w:val="20"/>
          <w:szCs w:val="20"/>
          <w:lang w:val="en-US"/>
        </w:rPr>
        <w:t xml:space="preserve">G.D. Fasman, Circular Dichroism and the Conformational Analysis of Biomolecules, </w:t>
      </w:r>
      <w:r w:rsidR="00DE4AAD">
        <w:rPr>
          <w:sz w:val="20"/>
          <w:szCs w:val="20"/>
          <w:lang w:val="en-US"/>
        </w:rPr>
        <w:t>First</w:t>
      </w:r>
      <w:r w:rsidR="00F52C5F" w:rsidRPr="00513923">
        <w:rPr>
          <w:sz w:val="20"/>
          <w:szCs w:val="20"/>
          <w:lang w:val="en-US"/>
        </w:rPr>
        <w:t xml:space="preserve"> Edition, Springer Science, 527-532.</w:t>
      </w:r>
    </w:p>
    <w:p w14:paraId="7B288603" w14:textId="66226E03" w:rsidR="00495984" w:rsidRPr="002047E6" w:rsidRDefault="00495984" w:rsidP="00EF5E8E">
      <w:pPr>
        <w:spacing w:after="0"/>
        <w:jc w:val="both"/>
        <w:rPr>
          <w:sz w:val="20"/>
          <w:szCs w:val="20"/>
        </w:rPr>
      </w:pPr>
      <w:r w:rsidRPr="002047E6">
        <w:rPr>
          <w:sz w:val="20"/>
          <w:szCs w:val="20"/>
        </w:rPr>
        <w:t>[</w:t>
      </w:r>
      <w:r w:rsidR="0024370E">
        <w:rPr>
          <w:sz w:val="20"/>
          <w:szCs w:val="20"/>
        </w:rPr>
        <w:t>3</w:t>
      </w:r>
      <w:r w:rsidRPr="002047E6">
        <w:rPr>
          <w:sz w:val="20"/>
          <w:szCs w:val="20"/>
        </w:rPr>
        <w:t>] Patent</w:t>
      </w:r>
      <w:r w:rsidR="00E2698A">
        <w:rPr>
          <w:sz w:val="20"/>
          <w:szCs w:val="20"/>
        </w:rPr>
        <w:t>s</w:t>
      </w:r>
      <w:r w:rsidRPr="002047E6">
        <w:rPr>
          <w:sz w:val="20"/>
          <w:szCs w:val="20"/>
        </w:rPr>
        <w:t xml:space="preserve">: </w:t>
      </w:r>
      <w:r w:rsidR="002047E6" w:rsidRPr="002047E6">
        <w:rPr>
          <w:sz w:val="20"/>
          <w:szCs w:val="20"/>
        </w:rPr>
        <w:t>CA patent 2194797 (2010), J.P. Behr, B. De</w:t>
      </w:r>
      <w:r w:rsidR="002047E6">
        <w:rPr>
          <w:sz w:val="20"/>
          <w:szCs w:val="20"/>
        </w:rPr>
        <w:t>meneix, F. Lezoualch, M. Mergny, D. Scherman, O. BOUSSIF (invs.)</w:t>
      </w:r>
    </w:p>
    <w:p w14:paraId="1ABDCE88" w14:textId="18450591" w:rsidR="00EF5E8E" w:rsidRPr="002047E6" w:rsidRDefault="00EF5E8E" w:rsidP="00BD39DB">
      <w:pPr>
        <w:spacing w:after="0"/>
        <w:jc w:val="both"/>
      </w:pPr>
    </w:p>
    <w:p w14:paraId="2AF35B2D" w14:textId="54FD9C79" w:rsidR="002047E6" w:rsidRPr="002047E6" w:rsidRDefault="002047E6" w:rsidP="002047E6"/>
    <w:p w14:paraId="2068A09B" w14:textId="68E61B32" w:rsidR="002047E6" w:rsidRPr="002047E6" w:rsidRDefault="002047E6" w:rsidP="002047E6"/>
    <w:p w14:paraId="5EAE328A" w14:textId="5BD5CF1E" w:rsidR="002047E6" w:rsidRPr="002047E6" w:rsidRDefault="002047E6" w:rsidP="002047E6"/>
    <w:p w14:paraId="73951C56" w14:textId="77777777" w:rsidR="002047E6" w:rsidRPr="002047E6" w:rsidRDefault="002047E6" w:rsidP="002047E6">
      <w:pPr>
        <w:rPr>
          <w:lang w:val="en-US"/>
        </w:rPr>
      </w:pPr>
    </w:p>
    <w:sectPr w:rsidR="002047E6" w:rsidRPr="002047E6">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0850F" w14:textId="77777777" w:rsidR="006874A8" w:rsidRDefault="006874A8" w:rsidP="004F117A">
      <w:pPr>
        <w:spacing w:after="0" w:line="240" w:lineRule="auto"/>
      </w:pPr>
      <w:r>
        <w:separator/>
      </w:r>
    </w:p>
  </w:endnote>
  <w:endnote w:type="continuationSeparator" w:id="0">
    <w:p w14:paraId="49C8466B" w14:textId="77777777" w:rsidR="006874A8" w:rsidRDefault="006874A8" w:rsidP="004F1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906D9" w14:textId="77777777" w:rsidR="006874A8" w:rsidRDefault="006874A8" w:rsidP="004F117A">
      <w:pPr>
        <w:spacing w:after="0" w:line="240" w:lineRule="auto"/>
      </w:pPr>
      <w:r>
        <w:separator/>
      </w:r>
    </w:p>
  </w:footnote>
  <w:footnote w:type="continuationSeparator" w:id="0">
    <w:p w14:paraId="16430220" w14:textId="77777777" w:rsidR="006874A8" w:rsidRDefault="006874A8" w:rsidP="004F11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9EE0B" w14:textId="5EF62554" w:rsidR="004F117A" w:rsidRPr="004F117A" w:rsidRDefault="004F117A" w:rsidP="004F117A">
    <w:pPr>
      <w:pStyle w:val="En-tte"/>
      <w:pBdr>
        <w:bottom w:val="single" w:sz="4" w:space="1" w:color="auto"/>
      </w:pBdr>
      <w:jc w:val="right"/>
    </w:pPr>
    <w:r w:rsidRPr="004F117A">
      <w:rPr>
        <w:color w:val="5B9BD5" w:themeColor="accent5"/>
      </w:rPr>
      <w:t>53</w:t>
    </w:r>
    <w:r w:rsidRPr="004F117A">
      <w:rPr>
        <w:color w:val="5B9BD5" w:themeColor="accent5"/>
        <w:vertAlign w:val="superscript"/>
      </w:rPr>
      <w:t>e</w:t>
    </w:r>
    <w:r w:rsidRPr="004F117A">
      <w:rPr>
        <w:color w:val="5B9BD5" w:themeColor="accent5"/>
      </w:rPr>
      <w:t xml:space="preserve"> Journées d’études des polymères </w:t>
    </w:r>
    <w:r>
      <w:t>– JEPO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F0A22"/>
    <w:multiLevelType w:val="hybridMultilevel"/>
    <w:tmpl w:val="EC983B52"/>
    <w:lvl w:ilvl="0" w:tplc="997248FA">
      <w:start w:val="1"/>
      <w:numFmt w:val="decimal"/>
      <w:pStyle w:val="TAMainText"/>
      <w:lvlText w:val="%1."/>
      <w:lvlJc w:val="left"/>
      <w:pPr>
        <w:tabs>
          <w:tab w:val="num" w:pos="562"/>
        </w:tabs>
        <w:ind w:left="542" w:hanging="340"/>
      </w:pPr>
      <w:rPr>
        <w:rFonts w:cs="Times New Roman" w:hint="default"/>
      </w:rPr>
    </w:lvl>
    <w:lvl w:ilvl="1" w:tplc="04090019" w:tentative="1">
      <w:start w:val="1"/>
      <w:numFmt w:val="lowerLetter"/>
      <w:lvlText w:val="%2."/>
      <w:lvlJc w:val="left"/>
      <w:pPr>
        <w:tabs>
          <w:tab w:val="num" w:pos="1642"/>
        </w:tabs>
        <w:ind w:left="1642" w:hanging="360"/>
      </w:pPr>
      <w:rPr>
        <w:rFonts w:cs="Times New Roman"/>
      </w:rPr>
    </w:lvl>
    <w:lvl w:ilvl="2" w:tplc="0409001B" w:tentative="1">
      <w:start w:val="1"/>
      <w:numFmt w:val="lowerRoman"/>
      <w:lvlText w:val="%3."/>
      <w:lvlJc w:val="right"/>
      <w:pPr>
        <w:tabs>
          <w:tab w:val="num" w:pos="2362"/>
        </w:tabs>
        <w:ind w:left="2362" w:hanging="180"/>
      </w:pPr>
      <w:rPr>
        <w:rFonts w:cs="Times New Roman"/>
      </w:rPr>
    </w:lvl>
    <w:lvl w:ilvl="3" w:tplc="0409000F" w:tentative="1">
      <w:start w:val="1"/>
      <w:numFmt w:val="decimal"/>
      <w:lvlText w:val="%4."/>
      <w:lvlJc w:val="left"/>
      <w:pPr>
        <w:tabs>
          <w:tab w:val="num" w:pos="3082"/>
        </w:tabs>
        <w:ind w:left="3082" w:hanging="360"/>
      </w:pPr>
      <w:rPr>
        <w:rFonts w:cs="Times New Roman"/>
      </w:rPr>
    </w:lvl>
    <w:lvl w:ilvl="4" w:tplc="04090019" w:tentative="1">
      <w:start w:val="1"/>
      <w:numFmt w:val="lowerLetter"/>
      <w:lvlText w:val="%5."/>
      <w:lvlJc w:val="left"/>
      <w:pPr>
        <w:tabs>
          <w:tab w:val="num" w:pos="3802"/>
        </w:tabs>
        <w:ind w:left="3802" w:hanging="360"/>
      </w:pPr>
      <w:rPr>
        <w:rFonts w:cs="Times New Roman"/>
      </w:rPr>
    </w:lvl>
    <w:lvl w:ilvl="5" w:tplc="0409001B" w:tentative="1">
      <w:start w:val="1"/>
      <w:numFmt w:val="lowerRoman"/>
      <w:lvlText w:val="%6."/>
      <w:lvlJc w:val="right"/>
      <w:pPr>
        <w:tabs>
          <w:tab w:val="num" w:pos="4522"/>
        </w:tabs>
        <w:ind w:left="4522" w:hanging="180"/>
      </w:pPr>
      <w:rPr>
        <w:rFonts w:cs="Times New Roman"/>
      </w:rPr>
    </w:lvl>
    <w:lvl w:ilvl="6" w:tplc="0409000F" w:tentative="1">
      <w:start w:val="1"/>
      <w:numFmt w:val="decimal"/>
      <w:lvlText w:val="%7."/>
      <w:lvlJc w:val="left"/>
      <w:pPr>
        <w:tabs>
          <w:tab w:val="num" w:pos="5242"/>
        </w:tabs>
        <w:ind w:left="5242" w:hanging="360"/>
      </w:pPr>
      <w:rPr>
        <w:rFonts w:cs="Times New Roman"/>
      </w:rPr>
    </w:lvl>
    <w:lvl w:ilvl="7" w:tplc="04090019" w:tentative="1">
      <w:start w:val="1"/>
      <w:numFmt w:val="lowerLetter"/>
      <w:lvlText w:val="%8."/>
      <w:lvlJc w:val="left"/>
      <w:pPr>
        <w:tabs>
          <w:tab w:val="num" w:pos="5962"/>
        </w:tabs>
        <w:ind w:left="5962" w:hanging="360"/>
      </w:pPr>
      <w:rPr>
        <w:rFonts w:cs="Times New Roman"/>
      </w:rPr>
    </w:lvl>
    <w:lvl w:ilvl="8" w:tplc="0409001B" w:tentative="1">
      <w:start w:val="1"/>
      <w:numFmt w:val="lowerRoman"/>
      <w:lvlText w:val="%9."/>
      <w:lvlJc w:val="right"/>
      <w:pPr>
        <w:tabs>
          <w:tab w:val="num" w:pos="6682"/>
        </w:tabs>
        <w:ind w:left="6682"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37B"/>
    <w:rsid w:val="00035A2A"/>
    <w:rsid w:val="00051E49"/>
    <w:rsid w:val="0009622F"/>
    <w:rsid w:val="001336F7"/>
    <w:rsid w:val="00153514"/>
    <w:rsid w:val="00187DAE"/>
    <w:rsid w:val="001C3773"/>
    <w:rsid w:val="002047E6"/>
    <w:rsid w:val="0024370E"/>
    <w:rsid w:val="002D0B82"/>
    <w:rsid w:val="002F2D9E"/>
    <w:rsid w:val="00392427"/>
    <w:rsid w:val="003B114A"/>
    <w:rsid w:val="003B1B78"/>
    <w:rsid w:val="003E2086"/>
    <w:rsid w:val="00480E7C"/>
    <w:rsid w:val="00495984"/>
    <w:rsid w:val="004D091E"/>
    <w:rsid w:val="004E7B63"/>
    <w:rsid w:val="004F117A"/>
    <w:rsid w:val="00513923"/>
    <w:rsid w:val="00566A8E"/>
    <w:rsid w:val="005F5A31"/>
    <w:rsid w:val="006874A8"/>
    <w:rsid w:val="00697B02"/>
    <w:rsid w:val="006B52AC"/>
    <w:rsid w:val="007D4826"/>
    <w:rsid w:val="007D7578"/>
    <w:rsid w:val="007E1CCB"/>
    <w:rsid w:val="00831081"/>
    <w:rsid w:val="008D398C"/>
    <w:rsid w:val="009A61B2"/>
    <w:rsid w:val="00A3776A"/>
    <w:rsid w:val="00A62B2B"/>
    <w:rsid w:val="00A74FB9"/>
    <w:rsid w:val="00AB51FA"/>
    <w:rsid w:val="00AE1742"/>
    <w:rsid w:val="00B25AE0"/>
    <w:rsid w:val="00B4037B"/>
    <w:rsid w:val="00B60F63"/>
    <w:rsid w:val="00BD39DB"/>
    <w:rsid w:val="00C125A6"/>
    <w:rsid w:val="00C32E4C"/>
    <w:rsid w:val="00C6129B"/>
    <w:rsid w:val="00CA0E9B"/>
    <w:rsid w:val="00CA2110"/>
    <w:rsid w:val="00CB472F"/>
    <w:rsid w:val="00CF1DA9"/>
    <w:rsid w:val="00D739EA"/>
    <w:rsid w:val="00DE4AAD"/>
    <w:rsid w:val="00DE5EEE"/>
    <w:rsid w:val="00E2698A"/>
    <w:rsid w:val="00E7170D"/>
    <w:rsid w:val="00E87B6D"/>
    <w:rsid w:val="00EF5E8E"/>
    <w:rsid w:val="00F52C5F"/>
    <w:rsid w:val="00F82BBD"/>
    <w:rsid w:val="00F83FAB"/>
    <w:rsid w:val="00FA69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647AA2"/>
  <w15:chartTrackingRefBased/>
  <w15:docId w15:val="{2FF9626D-4EF3-4133-B4C0-7DBE26CF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F117A"/>
    <w:pPr>
      <w:tabs>
        <w:tab w:val="center" w:pos="4536"/>
        <w:tab w:val="right" w:pos="9072"/>
      </w:tabs>
      <w:spacing w:after="0" w:line="240" w:lineRule="auto"/>
    </w:pPr>
  </w:style>
  <w:style w:type="character" w:customStyle="1" w:styleId="En-tteCar">
    <w:name w:val="En-tête Car"/>
    <w:basedOn w:val="Policepardfaut"/>
    <w:link w:val="En-tte"/>
    <w:uiPriority w:val="99"/>
    <w:rsid w:val="004F117A"/>
  </w:style>
  <w:style w:type="paragraph" w:styleId="Pieddepage">
    <w:name w:val="footer"/>
    <w:basedOn w:val="Normal"/>
    <w:link w:val="PieddepageCar"/>
    <w:uiPriority w:val="99"/>
    <w:unhideWhenUsed/>
    <w:rsid w:val="004F117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F117A"/>
  </w:style>
  <w:style w:type="paragraph" w:customStyle="1" w:styleId="TAMainText">
    <w:name w:val="TA_Main_Text"/>
    <w:basedOn w:val="Normal"/>
    <w:uiPriority w:val="99"/>
    <w:semiHidden/>
    <w:rsid w:val="002047E6"/>
    <w:pPr>
      <w:numPr>
        <w:numId w:val="1"/>
      </w:numPr>
      <w:spacing w:after="0" w:line="240" w:lineRule="exact"/>
      <w:jc w:val="both"/>
    </w:pPr>
    <w:rPr>
      <w:rFonts w:ascii="Times" w:eastAsia="Times New Roman" w:hAnsi="Times" w:cs="Times New Roman"/>
      <w:sz w:val="20"/>
      <w:szCs w:val="20"/>
      <w:lang w:val="en-US"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Pages>
  <Words>141</Words>
  <Characters>779</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MATHIEU MADAU (Personnel)</dc:creator>
  <cp:keywords/>
  <dc:description/>
  <cp:lastModifiedBy>MATHIEU MADAU (Personnel)</cp:lastModifiedBy>
  <cp:revision>35</cp:revision>
  <dcterms:created xsi:type="dcterms:W3CDTF">2026-04-18T20:17:00Z</dcterms:created>
  <dcterms:modified xsi:type="dcterms:W3CDTF">2026-04-30T07:45:00Z</dcterms:modified>
</cp:coreProperties>
</file>